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EE58B4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66A5D880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  <w:drawing>
          <wp:inline distT="0" distB="0" distL="114300" distR="114300">
            <wp:extent cx="7068820" cy="661035"/>
            <wp:effectExtent l="0" t="0" r="0" b="0"/>
            <wp:docPr id="5" name="图片 5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十四五国规标"/>
                    <pic:cNvPicPr>
                      <a:picLocks noChangeAspect="1"/>
                    </pic:cNvPicPr>
                  </pic:nvPicPr>
                  <pic:blipFill>
                    <a:blip r:embed="rId6"/>
                    <a:srcRect t="46761" b="46627"/>
                    <a:stretch>
                      <a:fillRect/>
                    </a:stretch>
                  </pic:blipFill>
                  <pic:spPr>
                    <a:xfrm>
                      <a:off x="0" y="0"/>
                      <a:ext cx="7068820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5871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26881B23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i w:val="0"/>
          <w:caps w:val="0"/>
          <w:color w:val="6787B2"/>
          <w:spacing w:val="0"/>
          <w:sz w:val="84"/>
          <w:szCs w:val="84"/>
          <w:shd w:val="clear" w:fill="FFFFFF"/>
          <w:lang w:val="en-US" w:eastAsia="zh-CN"/>
        </w:rPr>
        <w:t>教案</w:t>
      </w: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护理学基础</w:t>
      </w: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color w:val="2E75B6" w:themeColor="accent1" w:themeShade="BF"/>
          <w:sz w:val="52"/>
          <w:szCs w:val="52"/>
          <w:lang w:val="en-US" w:eastAsia="zh-CN"/>
        </w:rPr>
      </w:pP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eastAsia="zh-CN"/>
        </w:rPr>
        <w:t>（</w:t>
      </w: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val="en-US" w:eastAsia="zh-CN"/>
        </w:rPr>
        <w:t>第二版）</w:t>
      </w: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0F1166D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3D194E08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17BE579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8FAADC" w:themeColor="accent5" w:themeTint="99"/>
          <w:sz w:val="28"/>
          <w:szCs w:val="28"/>
          <w:lang w:val="en-US" w:eastAsia="zh-CN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4CE1FFFF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45BEE8F2">
      <w:pPr>
        <w:pStyle w:val="3"/>
        <w:bidi w:val="0"/>
        <w:jc w:val="center"/>
        <w:rPr>
          <w:rFonts w:hint="eastAsia"/>
          <w:sz w:val="52"/>
          <w:szCs w:val="52"/>
          <w:lang w:eastAsia="zh-CN"/>
        </w:rPr>
      </w:pPr>
      <w:r>
        <w:rPr>
          <w:rFonts w:hint="eastAsia"/>
          <w:sz w:val="52"/>
          <w:szCs w:val="52"/>
          <w:lang w:eastAsia="zh-CN"/>
        </w:rPr>
        <w:t>课时分配表</w:t>
      </w:r>
    </w:p>
    <w:tbl>
      <w:tblPr>
        <w:tblStyle w:val="11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8" w:space="0"/>
          <w:insideV w:val="single" w:color="4472C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6"/>
        <w:gridCol w:w="5269"/>
        <w:gridCol w:w="1735"/>
        <w:gridCol w:w="2025"/>
      </w:tblGrid>
      <w:tr w14:paraId="387E77C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735CD68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章序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5C161E8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课程内容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437AAF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课时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186FE5C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备注</w:t>
            </w:r>
          </w:p>
        </w:tc>
      </w:tr>
      <w:tr w14:paraId="184BB40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A4E5F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8DFBC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6EB78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60FCB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264512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38EEA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E42A4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护理程序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B91DFA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13B75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45E5E5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3CA4F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C498E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医院和住院环境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45B2E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5A8974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9E111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D9028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032614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入院和出院患者的护理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A6D0D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225E7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AF3C5A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CAE95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231B1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卧位与安全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C0B8D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0C15ED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77C283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D45C5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3E4AB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医院内感染的预防与控制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4076A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32D4F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3BBD8C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1258A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C4A5CB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药物疗法和过敏试验法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AFE7C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758E8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289623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EC2E6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D68F4D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静脉输液和输血法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C16A92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6C36D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99B7F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28A31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2B7B3E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生命体征的评估及护理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69F5E8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E0D6F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40E2CB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0A9F0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8AA19A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患者的清洁护理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254C8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F74BD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E8D82B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A87BB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0DA8D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饮食护理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3E39F5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6D354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E29B3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28FE1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7141D8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排泄护理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C1AAC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5135F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899F9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25467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D3BF6B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标本采集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BB42E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249B0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404C3E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DD8318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767CD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冷热疗法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C0E92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9BD9D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8C4344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7AB0A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4D5B1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病情观察和危重患者的抢救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99283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474C9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0BBC5C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D873F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16132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临终患者的护理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3E4F7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6AF505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E30526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071B7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AAD8D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医疗和护理文件书写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B0DDB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F5B4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B0A848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15A296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0942A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C6461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180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23F74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4C7BE318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</w:pPr>
    </w:p>
    <w:p w14:paraId="5F3F8945">
      <w:pP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</w:pPr>
      <w: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  <w:br w:type="page"/>
      </w:r>
    </w:p>
    <w:p w14:paraId="7C01B318">
      <w:pPr>
        <w:pStyle w:val="3"/>
        <w:bidi w:val="0"/>
        <w:jc w:val="center"/>
        <w:rPr>
          <w:rFonts w:hint="eastAsia"/>
          <w:color w:val="6787B2"/>
          <w:lang w:eastAsia="zh-CN"/>
        </w:rPr>
      </w:pPr>
      <w:r>
        <w:rPr>
          <w:rFonts w:hint="eastAsia" w:ascii="Times New Roman" w:hAnsi="Times New Roman"/>
          <w:b/>
          <w:bCs/>
          <w:sz w:val="28"/>
          <w:szCs w:val="28"/>
        </w:rPr>
        <w:t>第</w:t>
      </w: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>11</w:t>
      </w:r>
      <w:r>
        <w:rPr>
          <w:rFonts w:hint="eastAsia" w:ascii="Times New Roman" w:hAnsi="Times New Roman"/>
          <w:b/>
          <w:bCs/>
          <w:sz w:val="28"/>
          <w:szCs w:val="28"/>
        </w:rPr>
        <w:t>课  饮食护理</w:t>
      </w:r>
    </w:p>
    <w:tbl>
      <w:tblPr>
        <w:tblStyle w:val="10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1"/>
        <w:gridCol w:w="7014"/>
        <w:gridCol w:w="1650"/>
      </w:tblGrid>
      <w:tr w14:paraId="664B4CA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5474094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bookmarkStart w:id="0" w:name="_GoBack" w:colFirst="1" w:colLast="2"/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default" w:ascii="Times New Roman" w:hAnsi="Times New Roman"/>
                <w:b/>
                <w:szCs w:val="20"/>
              </w:rPr>
              <w:t xml:space="preserve">  </w:t>
            </w:r>
            <w:r>
              <w:rPr>
                <w:rFonts w:hint="eastAsia" w:ascii="Times New Roman" w:hAnsi="Times New Roman"/>
                <w:b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407E6DC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饮食护理</w:t>
            </w:r>
          </w:p>
        </w:tc>
      </w:tr>
      <w:tr w14:paraId="46F013B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177F4F0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eastAsia" w:ascii="Times New Roman" w:hAnsi="宋体"/>
                <w:b/>
                <w:szCs w:val="20"/>
              </w:rPr>
              <w:t xml:space="preserve"> </w:t>
            </w:r>
            <w:r>
              <w:rPr>
                <w:rFonts w:hint="default" w:ascii="Times New Roman" w:hAnsi="宋体"/>
                <w:b/>
                <w:szCs w:val="20"/>
              </w:rPr>
              <w:t xml:space="preserve"> 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CA7F47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8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360</w:t>
            </w:r>
            <w:r>
              <w:rPr>
                <w:rFonts w:hint="eastAsia" w:ascii="Times New Roman" w:hAnsi="宋体"/>
                <w:szCs w:val="20"/>
              </w:rPr>
              <w:t xml:space="preserve"> min）。</w:t>
            </w:r>
          </w:p>
        </w:tc>
      </w:tr>
      <w:tr w14:paraId="373BAEB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8E9D6E6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293089A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 w14:paraId="168AE9B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知道患者的一般饮食护理的内容。</w:t>
            </w:r>
          </w:p>
          <w:p w14:paraId="3EC06E9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能举例说出影响饮食和营养的因素。</w:t>
            </w:r>
          </w:p>
          <w:p w14:paraId="3B1B135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 w14:paraId="26E732D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20" w:firstLineChars="200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饮食护理</w:t>
            </w:r>
            <w:r>
              <w:rPr>
                <w:rFonts w:hint="eastAsia" w:ascii="Times New Roman" w:hAnsi="宋体"/>
                <w:bCs/>
                <w:szCs w:val="20"/>
              </w:rPr>
              <w:t>，树立科学的营养观念。</w:t>
            </w:r>
          </w:p>
        </w:tc>
      </w:tr>
      <w:tr w14:paraId="1CDC6AA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1604AC4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9D2399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医院饮食</w:t>
            </w:r>
          </w:p>
          <w:p w14:paraId="588FD8B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一般饮食护理</w:t>
            </w:r>
          </w:p>
        </w:tc>
      </w:tr>
      <w:tr w14:paraId="7FFEEE2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1EEDD5D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64AEA6E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 w14:paraId="313CC69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421F51C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5DBD0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 w14:paraId="4C09F78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bottom w:val="double" w:color="4472C4" w:themeColor="accent5" w:sz="4" w:space="0"/>
              <w:tl2br w:val="nil"/>
              <w:tr2bl w:val="nil"/>
            </w:tcBorders>
            <w:shd w:val="clear" w:color="auto" w:fill="D0E6FF"/>
            <w:vAlign w:val="center"/>
          </w:tcPr>
          <w:p w14:paraId="76E43A01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bottom w:val="double" w:color="4472C4" w:themeColor="accent5" w:sz="4" w:space="0"/>
              <w:tl2br w:val="nil"/>
              <w:tr2bl w:val="nil"/>
            </w:tcBorders>
            <w:vAlign w:val="center"/>
          </w:tcPr>
          <w:p w14:paraId="3B91117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 w14:paraId="42D7F0B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 w14:paraId="1DD47A6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 w14:paraId="0BD1D6D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74EEE09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5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22E3C29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6C5CE8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7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263E0BE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8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 w14:paraId="0C0AC3B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0E6FF"/>
            <w:vAlign w:val="center"/>
          </w:tcPr>
          <w:p w14:paraId="2AE9418C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0E6FF"/>
            <w:vAlign w:val="center"/>
          </w:tcPr>
          <w:p w14:paraId="561BBEA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 要 教 学 内 容 及 步 骤</w:t>
            </w:r>
          </w:p>
        </w:tc>
        <w:tc>
          <w:tcPr>
            <w:tcW w:w="136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0E6FF"/>
            <w:vAlign w:val="center"/>
          </w:tcPr>
          <w:p w14:paraId="6415798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 w14:paraId="7BC8910B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op w:val="double" w:color="4472C4" w:themeColor="accent5" w:sz="4" w:space="0"/>
              <w:tl2br w:val="nil"/>
              <w:tr2bl w:val="nil"/>
            </w:tcBorders>
            <w:shd w:val="clear" w:color="auto" w:fill="D0E6FF"/>
            <w:vAlign w:val="center"/>
          </w:tcPr>
          <w:p w14:paraId="4B1935E6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考勤</w:t>
            </w:r>
          </w:p>
          <w:p w14:paraId="2688BF10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021E8E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 w14:paraId="621323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1C0BA2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 w14:paraId="0E79183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988A7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572CF667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</w:t>
            </w:r>
            <w:r>
              <w:rPr>
                <w:rFonts w:hint="eastAsia" w:ascii="Times New Roman" w:hAnsi="Times New Roman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81BB96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b/>
                <w:color w:val="C00000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展示医院饮食（一）</w:t>
            </w:r>
          </w:p>
          <w:p w14:paraId="094820C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一、基本饮食</w:t>
            </w:r>
          </w:p>
          <w:p w14:paraId="507C845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基本饮食适用于没有特别饮食限制的一般患者（表11-1）。包括普通饮食、软质饮食、半流质饮食和流质饮食四种。</w:t>
            </w:r>
          </w:p>
          <w:p w14:paraId="4D92859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default"/>
              </w:rPr>
              <w:drawing>
                <wp:inline distT="0" distB="0" distL="114300" distR="114300">
                  <wp:extent cx="2063750" cy="1486535"/>
                  <wp:effectExtent l="0" t="0" r="12700" b="1841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750" cy="1486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052F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二、治疗饮食</w:t>
            </w:r>
          </w:p>
          <w:p w14:paraId="1C089F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治疗饮食是在基本饮食的基础上，根据病情需要，适当地调整总热量和某些营养素的比例，以达到治疗或者辅助治疗的目的（表 11-2）。</w:t>
            </w:r>
          </w:p>
          <w:p w14:paraId="7FE9BB8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601595" cy="3655695"/>
                  <wp:effectExtent l="0" t="0" r="8255" b="190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595" cy="3655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B5F858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46CFD4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展示医院饮食（一）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让学生更加仔细的阅读，从而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 w14:paraId="431F30F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FF88702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5A5F40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278356A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2" w:firstLineChars="200"/>
              <w:rPr>
                <w:rFonts w:hint="eastAsia" w:hAnsi="宋体" w:eastAsia="宋体"/>
                <w:bCs/>
                <w:lang w:eastAsia="zh-CN"/>
              </w:rPr>
            </w:pPr>
            <w:r>
              <w:rPr>
                <w:rFonts w:hint="eastAsia" w:hAnsi="宋体"/>
                <w:b/>
                <w:bCs w:val="0"/>
                <w:lang w:val="en-US" w:eastAsia="zh-CN"/>
              </w:rPr>
              <w:t>简述基本饮食。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AA28A5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 w14:paraId="1E2246F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94718BB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38F91AC1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58FCE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展示医院饮食（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466F4A4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三、试验饮食</w:t>
            </w:r>
          </w:p>
          <w:p w14:paraId="0486EDC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试验饮食是在特定的时间内，通过对饮食内容的调整，以达到诊断和保证实验结果准确性的目的（表 11-3）。</w:t>
            </w:r>
          </w:p>
          <w:p w14:paraId="4AE2840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235835" cy="1539240"/>
                  <wp:effectExtent l="0" t="0" r="12065" b="381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835" cy="153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316D9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CA77D8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通过教师讲解，了解医院饮食（二）的基本理论知识。</w:t>
            </w:r>
          </w:p>
        </w:tc>
      </w:tr>
      <w:tr w14:paraId="53AA0D6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5183A4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4566614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095B68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65E9E8E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医院饮食（二）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，让学生知道试验饮食是在特定的时间内，通过对饮食内容的调整，以达到诊断和保证实验结果准确性的目的。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F0FE66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71F55BE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7D17DE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64" w:lineRule="auto"/>
              <w:ind w:left="8" w:leftChars="0" w:right="0" w:rightChars="0" w:hanging="8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3D1F59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480FAEE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default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简述试验饮食原则。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86765C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7E4B625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F0E411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7B610E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展示一般饮食护理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（一）</w:t>
            </w:r>
          </w:p>
          <w:p w14:paraId="41FC765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一、影响饮食与营养的因素</w:t>
            </w:r>
          </w:p>
          <w:p w14:paraId="14533A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（一）生理因素</w:t>
            </w:r>
          </w:p>
          <w:p w14:paraId="7B4A680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年龄、活动量　年龄不同，每日所需要的饮食量和营养素也不同，如儿童、青少年，因处于生长发育期，所需的热量和营养素比老年人多，活动量大的所需的热量和营养素要高于活动量少的个体。</w:t>
            </w:r>
          </w:p>
          <w:p w14:paraId="6B0559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特殊生理时期　女性在妊娠期、哺乳期所需的营养素增加，并有饮食习惯的改变，妊娠期要摄入均衡营养，同时还需增加蛋白质、铁、碘、叶酸的摄入，妊娠后三个月要注意增加钙的摄入。哺乳期的女性在每日饮食的基础上要增加 500 kcal 热量，蛋白质的需要也要增加 65 g/d。</w:t>
            </w:r>
          </w:p>
          <w:p w14:paraId="2CD92D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（二）心理因素　</w:t>
            </w:r>
          </w:p>
          <w:p w14:paraId="027358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轻松愉快的心理状态会促进食欲，相反不良的情绪如焦虑、恐惧、悲哀等可引起交感神经兴奋，抑制胃肠蠕动和消化液的分泌，使患者食欲下降，甚至厌食，影响食物的消化。此外进食的环境整洁舒适，食品清洁美观，食物的感官性状良好，均可影响人们对食物的选择和摄入。</w:t>
            </w:r>
          </w:p>
          <w:p w14:paraId="7C152B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（三）社会文化因素　</w:t>
            </w:r>
          </w:p>
          <w:p w14:paraId="3177E8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经济状况、文化背景、地域环境、宗教信仰等诸多因素会影响人们对饮食与营养的嗜好和选择。其中经济状况直接影响人们对食物的选择，从而影响健康；文化背景、宗教信仰、地域环境会影响人们的饮食习惯，从而影响人们对食品的选择和营养的吸收，甚至会导致疾病。如东北地区的居民冬天喜食腌制的酸菜，因其中含有较多的亚硝酸盐，因此消化系统肿瘤的发病率增高。生活节奏的加快，接受快餐、速食食品的人越来越多，因而易导致肥胖。信仰佛教的人因长期素食，易导致营养不良。</w:t>
            </w:r>
          </w:p>
          <w:p w14:paraId="1737B3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（四）病理因素</w:t>
            </w:r>
          </w:p>
          <w:p w14:paraId="7558B5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疾病　疾病所导致的症状如疼痛以及所带来的不良情绪如焦虑、悲哀、恐惧等会影响患者的食欲；同时一些高代谢性疾病、慢性消耗性疾病如发热、甲亢、结核、恶性肿瘤等，因其代谢高，消耗大，所需的营养素要高于平时；还有通过各种途径如尿液、血液、汗液导致蛋白质、体液、电解质丢失增多，则所需的营养也会增加。</w:t>
            </w:r>
          </w:p>
          <w:p w14:paraId="67CC53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食物过敏和不耐受　某些特殊过敏体质的患者对一些食物如虾、蟹、鸡蛋会过敏，食用后会引起腹泻、腹痛、哮喘、荨麻疹的发生；还有的患者因体内某种特定酶的遗传性的缺乏而对一些食物的色、添加剂，或者对食物中天然含有的物质不耐受，如有些人空肠缺乏乳酸酶，引起机体对乳及乳制品不耐受，一旦食用会引起腹泻。</w:t>
            </w:r>
          </w:p>
          <w:p w14:paraId="0CCBB8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药物的使用与饮酒　治疗疾病所使用的某些药物会影响人的食欲和消化。如盐酸赛庚啶可以增加饥饿感，增强食欲。非肠溶性红霉素因刺激胃黏膜引起炎症反应而降低食欲。苯妥英钠可以干扰维生素 D 的吸收。长期大量饮酒会导致营养不良并影响药物的吸收和代谢。</w:t>
            </w:r>
          </w:p>
          <w:p w14:paraId="305077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13D305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通过教师讲解，了解一般饮食护理（一）的基本理论知识。</w:t>
            </w:r>
          </w:p>
        </w:tc>
      </w:tr>
      <w:tr w14:paraId="443DC1B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66BF61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E736D7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6072BF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1D3254B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这节课我们一起学习了一般饮食护理（一），让学生知道年龄不同，每日所需要的饮食量和营养素也不同。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D17D35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5D95937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01CBF7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FBD8AC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279862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简述影响饮食与营养的因素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EC8336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3E63CCA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7510A0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312DA4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展示一般饮食护理（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555179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二、患者的一般饮食护理</w:t>
            </w:r>
          </w:p>
          <w:p w14:paraId="3B44534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患者的一般饮食护理包括进食前、进食时和进食后的三个护理环节。</w:t>
            </w:r>
          </w:p>
          <w:p w14:paraId="700C304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（一）进食前的护理</w:t>
            </w:r>
          </w:p>
          <w:p w14:paraId="555358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饮食指导　护士应根据评估的结果和患者所需的饮食的种类进行解释和指导，特别是治疗饮食和试验饮食严重影响患者的食欲，一定要耐心解释，以取得患者的理解和配合。尽可能地尊重患者的饮食习惯，用患者容易接受的食物代替限制的食物，帮助患者逐渐改变饮食习惯。</w:t>
            </w:r>
          </w:p>
          <w:p w14:paraId="309A50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环境准备　为患者提供整洁、舒适、气氛轻松的进餐环境。做好如下工作：</w:t>
            </w:r>
          </w:p>
          <w:p w14:paraId="2C1A7A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（1）饭前半小时整理床单位，开窗通风，移去便器；</w:t>
            </w:r>
          </w:p>
          <w:p w14:paraId="2AD887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（2）暂停非紧急治疗、检查和护理操作；</w:t>
            </w:r>
          </w:p>
          <w:p w14:paraId="48859D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（3）屏风遮挡危重患者，若病情和条件许可可安排在餐厅集体就餐。</w:t>
            </w:r>
          </w:p>
          <w:p w14:paraId="604C19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患者准备</w:t>
            </w:r>
          </w:p>
          <w:p w14:paraId="41824B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（1）去除各种导致患者不舒适的因素，包括控制疼痛，高热患者采取降温措施，敷料包扎的注意调整松紧。</w:t>
            </w:r>
          </w:p>
          <w:p w14:paraId="3A590DC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（2）督促或者协助患者洗手、漱口、排空大小便，必要时做口腔护理。</w:t>
            </w:r>
          </w:p>
          <w:p w14:paraId="290CE5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协助患者采取舒适的体位，病情许可协助患者下床进食。不能下床的采取半坐位或者坐位，放好跨床桌，卧床患者协助采取侧卧或者仰卧（头偏向一侧），给予适当的支托，治疗巾或者餐巾围于胸前，以保持被单和衣服的清洁。</w:t>
            </w:r>
          </w:p>
          <w:p w14:paraId="690900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（二）进食时的护理</w:t>
            </w:r>
          </w:p>
          <w:p w14:paraId="24AFF1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分发食物　护士穿戴整齐，洗净双手，根据饮食单上的要求，协助和督促配餐员准确无误地把热菜热饭分发给患者。</w:t>
            </w:r>
          </w:p>
          <w:p w14:paraId="1F7FF2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加强巡视　患者进食期间，护士要加强巡视，鼓励患者进食，同时正确处理进食中的各种问题。</w:t>
            </w:r>
          </w:p>
          <w:p w14:paraId="1AC10B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（1）检查治疗饮食和试验饮食的实施情况，必要时给予解释和督促，对家属送来的饮食需经护士检查，符合治疗护理原则的方可食用。</w:t>
            </w:r>
          </w:p>
          <w:p w14:paraId="160651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（2）给予喂食：不能进食的患者给予喂食，喂食时要尊重患者的饮食习惯，要有耐心，注意温度、速度和次序。进流质者可用吸管进食。</w:t>
            </w:r>
          </w:p>
          <w:p w14:paraId="2047351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（3）双目失明的或双眼被遮盖的患者，在喂食前要告知患者食物的名称以增加食欲，促进消化液的分泌。患者如要求自己进食，可按照时钟平面摆放食物，并告知方法和食物的名称，以方便患者取用，如 6 点处放主食，12点处放汤，9 点和 3 点处放菜。</w:t>
            </w:r>
          </w:p>
          <w:p w14:paraId="1454C4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（4）对禁食或限量进食者，应告知患者原因以取得合作，同时在床尾卡上标记，做好交接班。限水的要有限水标记。</w:t>
            </w:r>
          </w:p>
          <w:p w14:paraId="23F30D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健康教育　在患者进食的整个过程中护士都要认真观察，有的放矢地做好健康宣教，帮助患者纠正不良的饮食行为和习惯，以促进疾病的康复。</w:t>
            </w:r>
          </w:p>
          <w:p w14:paraId="5F0CE7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（三）进食后的护理</w:t>
            </w:r>
          </w:p>
          <w:p w14:paraId="4DF302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整理收拾　及时撤去餐具，督促患者洗手、漱口，必要时做好口腔护理，整理床单位，促进餐后的舒适。</w:t>
            </w:r>
          </w:p>
          <w:p w14:paraId="268831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必要时做好记录　包括进食的种类、量、进食后的反应等，评估患者的进食是否符合营养需求。</w:t>
            </w:r>
          </w:p>
          <w:p w14:paraId="3593301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对暂禁食或者延迟进食的患者要做好交接班</w:t>
            </w:r>
          </w:p>
          <w:p w14:paraId="1538C4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  <w:p w14:paraId="31B013A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8D8DD5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通过教师讲解，了解一般饮食护理（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49F31C8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11F49B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C8908D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587DE4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5EE63B3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这节课我们一起学习了一般饮食护理（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），让学生知道及时撤去餐具，督促患者洗手、漱口，必要时做好口腔护理。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F13505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77EBC4F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82BD02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B194A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71CF551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简述进食前的护理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5B5316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70083D8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7D6B2DB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51861E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展示特殊饮食护理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（一）</w:t>
            </w:r>
          </w:p>
          <w:p w14:paraId="3616EABE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2" w:firstLineChars="200"/>
              <w:jc w:val="both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一、鼻饲法</w:t>
            </w:r>
          </w:p>
          <w:p w14:paraId="210FF452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鼻饲法是将导管经鼻腔插入胃内，从管内注入流质食物、营养液、水分和药物的方法。</w:t>
            </w:r>
          </w:p>
          <w:p w14:paraId="019FE2FE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1035A0B6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对下列不能自行经口进食的患者以鼻导管供给食物和药物，以维持患者营养和治疗的需要。</w:t>
            </w:r>
          </w:p>
          <w:p w14:paraId="62C55118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（1）昏迷患者。</w:t>
            </w:r>
          </w:p>
          <w:p w14:paraId="352DFDD0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（2）口腔疾患或口腔手术后的患者。</w:t>
            </w:r>
          </w:p>
          <w:p w14:paraId="4DF8C88F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（3）不能张口的患者，如破伤风患者。</w:t>
            </w:r>
          </w:p>
          <w:p w14:paraId="0286B53D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（4）其他患者，如早产儿、病情危重者、拒绝进食的患者。</w:t>
            </w:r>
          </w:p>
          <w:p w14:paraId="013AA707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0D58B52B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评估患者鼻胫是否通畅以及患者或家属对操作目的、过程是否了解。</w:t>
            </w:r>
          </w:p>
          <w:p w14:paraId="53883C74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0F5AF228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操作者准备 衣帽整齐，洗手，戴口罩。</w:t>
            </w:r>
          </w:p>
          <w:p w14:paraId="14B4775C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患者准备 协助患者排空大小便，取下活动的义齿、眼镜，并妥善放置。</w:t>
            </w:r>
          </w:p>
          <w:p w14:paraId="611A1F4D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用物准备 铺一个鼻饲盘，盘内放如下用物：鼻饲包，包内有治疗碗、压舌板、止血钳、普通胃管或硅胶管、50 mL 注射器、纱布、治疗巾、液状石蜡，棉签、胶布、夹子或橡胶圈、别针、纸巾、弯盘、听诊器、手电筒适量温开水、流质饮食 200 mL（38 ～ 40℃）、水温计、松节油，必要时备漱口液。治疗车下层备生活垃圾桶，医用垃圾筒。</w:t>
            </w:r>
          </w:p>
          <w:p w14:paraId="56D5A2AF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环境准备 提供一个安静、整洁、舒适、光线充足的环境。</w:t>
            </w:r>
          </w:p>
          <w:p w14:paraId="64E585CB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2A043945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鼻饲法的操作步骤及要点说明见表 11-4。</w:t>
            </w:r>
          </w:p>
          <w:p w14:paraId="4EBCB87A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default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default" w:ascii="Calibri" w:hAnsi="Calibri" w:eastAsia="宋体" w:cs="Times New Roman"/>
                <w:kern w:val="2"/>
                <w:sz w:val="21"/>
                <w:szCs w:val="21"/>
                <w:lang w:val="en-US" w:eastAsia="zh-CN" w:bidi="ar"/>
              </w:rPr>
              <w:drawing>
                <wp:inline distT="0" distB="0" distL="114300" distR="114300">
                  <wp:extent cx="2914650" cy="4312920"/>
                  <wp:effectExtent l="0" t="0" r="0" b="11430"/>
                  <wp:docPr id="35" name="图片 3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4312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Calibri" w:hAnsi="Calibri" w:eastAsia="宋体" w:cs="Times New Roman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</w:p>
          <w:p w14:paraId="0ED7C164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【评价】</w:t>
            </w:r>
          </w:p>
          <w:p w14:paraId="5547EDD8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）操作方法正确，动作轻柔，无黏膜损伤和出血及其他并发症发生。</w:t>
            </w:r>
          </w:p>
          <w:p w14:paraId="6459E9D5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）患者理解插管的意义并能主动配合。</w:t>
            </w:r>
          </w:p>
          <w:p w14:paraId="59A86A99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）确保胃管在胃内，无脱出。</w:t>
            </w:r>
          </w:p>
          <w:p w14:paraId="0AD8BB1A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4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）保证患者基本营养、水分、药物的摄取。</w:t>
            </w:r>
          </w:p>
          <w:p w14:paraId="5EAD2515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）拔管后患者无不适反应。</w:t>
            </w:r>
          </w:p>
          <w:p w14:paraId="102CEAE4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【注意事项】</w:t>
            </w:r>
            <w:r>
              <w:rPr>
                <w:rFonts w:hint="eastAsia" w:ascii="Calibri" w:hAnsi="Calibri" w:eastAsia="宋体" w:cs="Times New Roman"/>
                <w:kern w:val="2"/>
                <w:sz w:val="21"/>
                <w:szCs w:val="21"/>
                <w:lang w:val="en-US" w:eastAsia="zh-CN" w:bidi="ar"/>
              </w:rPr>
              <w:t xml:space="preserve"> 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胃管固定新方法</w:t>
            </w:r>
          </w:p>
          <w:p w14:paraId="5FB1B8C3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）鼻饲前应进行有效的护理沟通，耐心地向患者解释鼻饲的有关事项，消除其顾虑和不安全感。</w:t>
            </w:r>
          </w:p>
          <w:p w14:paraId="576890B8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）插管时动作轻稳，避免给患者带来损伤。</w:t>
            </w:r>
          </w:p>
          <w:p w14:paraId="2B8EC69F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）操作中要认真观察患者的反应，并正确处理出现的问题：</w:t>
            </w:r>
          </w:p>
          <w:p w14:paraId="3A4572F6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①出现恶心症状时，暂停片刻，嘱患者做深呼吸。</w:t>
            </w:r>
          </w:p>
          <w:p w14:paraId="59DD3779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②出现呛咳、呼吸困难、发绀等情况，可能误入气管，应立即拔出，休息片刻后再重新插入。如插入不畅，要细心检查原因，切忌强行插入，以免损伤黏膜。</w:t>
            </w:r>
          </w:p>
          <w:p w14:paraId="4F87C8AD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4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 xml:space="preserve">）每次鼻饲量不超过 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200 mL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 xml:space="preserve">，间隔的时间不少于 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 xml:space="preserve">2 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小时，温度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 xml:space="preserve">38 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 xml:space="preserve">～ 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40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℃。如要服药应将药物研碎溶解后注入。新鲜的水果和奶液要分开注入，以免产生凝块。注意注入的速度、温度，避免注入空气，以免引起腹胀。</w:t>
            </w:r>
          </w:p>
          <w:p w14:paraId="5523886F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）长期鼻饲者，每天要做口腔护理，每周更换胃管，更换的方法是晚上最后一次鼻饲结束后拔出，第二天早上鼻饲前再从另外一侧鼻孔插入。</w:t>
            </w:r>
          </w:p>
          <w:p w14:paraId="327D5442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Calibri" w:hAnsi="Calibri" w:eastAsia="宋体" w:cs="Calibri"/>
                <w:kern w:val="2"/>
                <w:sz w:val="21"/>
                <w:szCs w:val="21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）食道、胃底静脉曲张，食道癌、食道梗阻、近期上消化道有活动性出血者禁忌鼻饲。</w:t>
            </w:r>
          </w:p>
          <w:p w14:paraId="37856785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eastAsia" w:ascii="Calibri" w:hAnsi="Calibri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【健康教育】</w:t>
            </w:r>
          </w:p>
          <w:p w14:paraId="2FC9CAC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让患者和家属理解鼻饲的重要性，并能克服插管所引起的不适，积极参与，主动沟通，确保鼻饲顺利进行。</w:t>
            </w:r>
          </w:p>
          <w:p w14:paraId="2A2F7C7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277117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通过教师讲解，了解特殊饮食护理（一）的基本理论知识。</w:t>
            </w:r>
          </w:p>
        </w:tc>
      </w:tr>
      <w:tr w14:paraId="246B3AC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3E6263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00A064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BEEA41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746060D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这节课我们一起学习了特殊饮食护理（一），让学生知道操作方法正确，动作轻柔，无黏膜损伤和出血及其他并发症发生。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3724C6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5215F51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ADCC7E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317A81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3996B1C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胃管固定新方法。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6F5561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6F4E832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82E9AA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581C71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展示特殊饮食护理（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31E52D3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二、要素饮食</w:t>
            </w:r>
          </w:p>
          <w:p w14:paraId="03D7A9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要素饮食是一种人工合成的化学精制食物，含有人体所需要的各种营养成分，包括游离的氨基酸、单糖、必需脂肪酸、维生素、无机盐类和微量元素等。其特点是不含纤维素，不需要消化的过程，即或是在没有消化液的情况下都能被机体完全吸收利用，且营养价值高，营养全面。要素饮食组成分为两种：水解蛋白为氮源的要素饮食和氨基酸为氮源的要素饮食。使用的方法可口服、滴注、鼻饲。</w:t>
            </w:r>
          </w:p>
          <w:p w14:paraId="50AD23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（一）目的</w:t>
            </w:r>
          </w:p>
          <w:p w14:paraId="778825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（1）危重患者，外科大手术前后的营养支持。</w:t>
            </w:r>
          </w:p>
          <w:p w14:paraId="780095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（2）恶性肿瘤或其他慢性消耗性疾病引起的营养不良者。</w:t>
            </w:r>
          </w:p>
          <w:p w14:paraId="1FCDA3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（3）严重胃肠炎、胃肠道瘘、急性胰腺炎引起的严重的胃肠功能紊乱者。</w:t>
            </w:r>
          </w:p>
          <w:p w14:paraId="04C7F25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（二）用法</w:t>
            </w:r>
          </w:p>
          <w:p w14:paraId="73BE49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（1）口服法：口服剂量为每次 50 mL，渐增至每次 100 mL，依病情可6 ～ 10 次 / 日，可添加橘子汁、菜汤调味。</w:t>
            </w:r>
          </w:p>
          <w:p w14:paraId="36BA83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（2）鼻饲、经胃或空肠造瘘口滴入。</w:t>
            </w:r>
          </w:p>
          <w:p w14:paraId="39E298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①分次注入 4 ～ 6 次 / 日，每次 250 ～ 400 mL。主要用于非危重患者。此法操作方便，价格低廉，但容易引起恶心、呕吐、腹泻等胃肠道反应。</w:t>
            </w:r>
          </w:p>
          <w:p w14:paraId="5F2363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②间隙滴注：将要素饮食放入有盖的吊瓶内，经输注管缓慢注入，4 ～ 6次 / 日，每次 400 ～ 500 mL。每次输注的持续时间 30 ～ 60 分钟。</w:t>
            </w:r>
          </w:p>
          <w:p w14:paraId="512D106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③连续滴注：装置与间隙滴注相同，在 12 ～ 24 小时持续滴入，浓度以5% 开始逐步增大到 20% ～ 25%，速度由 40 ～ 60 gtt/min 开始增至 120 mL/h，最高达 150 mL/h，温度保持在 38 ～ 42℃。</w:t>
            </w:r>
          </w:p>
          <w:p w14:paraId="554770D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（三）注意事项</w:t>
            </w:r>
          </w:p>
          <w:p w14:paraId="2F05AFB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（1）要素饮食需新鲜配制，并严格执行无菌操作，所有配制用物均需严格灭菌，每天配制一次，置 4℃冰箱保存，24 小时用完。</w:t>
            </w:r>
          </w:p>
          <w:p w14:paraId="1CA5B0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要素饮食要以低浓度、低容量开始，逐渐增加。停用时逐渐减量，不可骤停，以免引起低血糖反应。使用要素饮食期间要监测血糖、尿糖、大便潜血、出凝血时间、凝血酶原、肝功、肾功、电解质，定期测体重。</w:t>
            </w:r>
          </w:p>
          <w:p w14:paraId="4ED365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（3）滴注过程中应加强观察，如出现恶心、呕吐、腹胀等情况应查明原因，根据原因及反应的轻重适当调整滴注的速度和浓度，严重者暂停滴入。</w:t>
            </w:r>
          </w:p>
          <w:p w14:paraId="62F2F95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（4）消化道出血患者、三个月内婴儿禁用。糖尿病患者、胃切除术后的患者应慎用。</w:t>
            </w:r>
          </w:p>
          <w:p w14:paraId="3B4EDF8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FC2813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通过教师讲解，了解特殊饮食护理（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51DF6FC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5CB3E7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50AAB75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6733C6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3DC3A8E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这节课我们一起学习了特殊饮食护理（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），让学生知道要素饮食是一种人工合成的化学精制食物，含有人体所需要的各种营养成分。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4BFE93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5B34627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10799B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247477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558D391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简述要素饮食的概念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DFA630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56F5542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5AC5FFE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D9A801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展示出入液量记录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（一）</w:t>
            </w:r>
          </w:p>
          <w:p w14:paraId="26F02A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一、记录内容与要求</w:t>
            </w:r>
          </w:p>
          <w:p w14:paraId="41F0D3E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出入液量的记录内容包括摄入量和排出量（表 11-5）。</w:t>
            </w:r>
          </w:p>
          <w:p w14:paraId="3EFA33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919730" cy="1118235"/>
                  <wp:effectExtent l="0" t="0" r="13970" b="571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730" cy="1118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1884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E78D54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通过教师讲解，了解出入液量记录（一）的基本理论知识。</w:t>
            </w:r>
          </w:p>
        </w:tc>
      </w:tr>
      <w:tr w14:paraId="5960E67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7A983D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56C537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C9C629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5C9F1CF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这节课我们一起学习了出入液量记录（一），让学生知道出入液量的记录内容包括摄入量和排出量。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65201A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09B6FD5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95E390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BCC5E7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1053A3E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简述出入液量的记录内容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E3061A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10E38FF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5B8003E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ABBC7D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展示出入液量记录（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1E5C9A0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二、记录方法</w:t>
            </w:r>
          </w:p>
          <w:p w14:paraId="6DE23E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（1）蓝笔填写出入液量记录单和眉栏项目，如床号、姓名、住院号、日期等。</w:t>
            </w:r>
          </w:p>
          <w:p w14:paraId="66A980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（2）晨 7 时到晚 7 时用蓝笔记录，晚 7 时到次晨 7 时用红笔记录。</w:t>
            </w:r>
          </w:p>
          <w:p w14:paraId="1F4586A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（3）每日晚 7 时做 12 小时小结，次日晨 7 时做 24 小时总结，并用蓝笔填写在体温单的相应栏目内。</w:t>
            </w:r>
          </w:p>
          <w:p w14:paraId="3A1B40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（4）记录应及时、准确、完整。</w:t>
            </w:r>
          </w:p>
          <w:p w14:paraId="0EF65F3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48D662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通过教师讲解，了解出入液量记录（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1CDE814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68CABE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3101F5B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D13A91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5360ED9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这节课我们一起学习了出入液量记录（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），让学生知道晨 7 时到晚 7 时用蓝笔记录，晚 7 时到次晨 7 时用红笔记录。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E6228C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1C551DA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85E941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314CC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46E3E88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简述记录方法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1004AD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4F798B9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BF879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1B7D177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</w:rPr>
            </w:pPr>
            <w:r>
              <w:rPr>
                <w:rFonts w:hint="default" w:ascii="Times New Roman" w:hAnsi="Times New Roman"/>
              </w:rPr>
              <w:t xml:space="preserve">本课设计充分调动学生的动手能力，逻辑思维能力，合作学习的能力，但时间安排较紧，如果能当堂展示同学们的情况，及时给予正确评价，会更好。 </w:t>
            </w:r>
          </w:p>
        </w:tc>
      </w:tr>
      <w:bookmarkEnd w:id="0"/>
    </w:tbl>
    <w:p w14:paraId="10C69660"/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481C5E94-156B-4D34-A05A-755908A8EB6A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9AB1B955-65F7-4723-9B5D-D38922CBC21F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160DAB2F-FFFC-40A6-9514-0172CC7DF716}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汉仪菱心体简">
    <w:panose1 w:val="02010400000101010101"/>
    <w:charset w:val="86"/>
    <w:family w:val="auto"/>
    <w:pitch w:val="default"/>
    <w:sig w:usb0="00000001" w:usb1="080E0800" w:usb2="00000002" w:usb3="00000000" w:csb0="00040000" w:csb1="00000000"/>
    <w:embedRegular r:id="rId4" w:fontKey="{BF6ACF9A-396C-4A73-ABDB-01B1E7A519FF}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5" w:fontKey="{8F88DEB0-E91A-4BF6-9C52-BCDFA6814203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222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3360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0288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-189230</wp:posOffset>
          </wp:positionH>
          <wp:positionV relativeFrom="paragraph">
            <wp:posOffset>-476250</wp:posOffset>
          </wp:positionV>
          <wp:extent cx="7640955" cy="10807700"/>
          <wp:effectExtent l="0" t="0" r="171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6D56191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63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A120443"/>
    <w:rsid w:val="0AC91BFE"/>
    <w:rsid w:val="0E3C75E8"/>
    <w:rsid w:val="0F244062"/>
    <w:rsid w:val="18E44A63"/>
    <w:rsid w:val="1F095C2A"/>
    <w:rsid w:val="1FB84519"/>
    <w:rsid w:val="2003061B"/>
    <w:rsid w:val="20F13C9B"/>
    <w:rsid w:val="221D1D08"/>
    <w:rsid w:val="238347DF"/>
    <w:rsid w:val="24B477DD"/>
    <w:rsid w:val="278141AB"/>
    <w:rsid w:val="28B578A7"/>
    <w:rsid w:val="30564A47"/>
    <w:rsid w:val="30865E1D"/>
    <w:rsid w:val="322A12C5"/>
    <w:rsid w:val="34AD60CD"/>
    <w:rsid w:val="34B67F89"/>
    <w:rsid w:val="368D542E"/>
    <w:rsid w:val="388B134B"/>
    <w:rsid w:val="3936386A"/>
    <w:rsid w:val="3B3D61BD"/>
    <w:rsid w:val="42E71A52"/>
    <w:rsid w:val="430B39E6"/>
    <w:rsid w:val="436C72A2"/>
    <w:rsid w:val="43A6660D"/>
    <w:rsid w:val="43CD7F64"/>
    <w:rsid w:val="44B33A23"/>
    <w:rsid w:val="45C91BBA"/>
    <w:rsid w:val="48AA54D8"/>
    <w:rsid w:val="49703285"/>
    <w:rsid w:val="49B358F8"/>
    <w:rsid w:val="49F8701E"/>
    <w:rsid w:val="4C7F0E23"/>
    <w:rsid w:val="582E68E8"/>
    <w:rsid w:val="5A7C6694"/>
    <w:rsid w:val="5FE01C28"/>
    <w:rsid w:val="5FFC3909"/>
    <w:rsid w:val="600E33E1"/>
    <w:rsid w:val="610E43FE"/>
    <w:rsid w:val="622A303A"/>
    <w:rsid w:val="693C60E2"/>
    <w:rsid w:val="69425AC1"/>
    <w:rsid w:val="6CD7419C"/>
    <w:rsid w:val="71C561B9"/>
    <w:rsid w:val="723010AC"/>
    <w:rsid w:val="747F1FAF"/>
    <w:rsid w:val="76311976"/>
    <w:rsid w:val="7A106FE1"/>
    <w:rsid w:val="7A3C7DD6"/>
    <w:rsid w:val="7B4E2932"/>
    <w:rsid w:val="7B643141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9.png"/><Relationship Id="rId10" Type="http://schemas.openxmlformats.org/officeDocument/2006/relationships/image" Target="media/image8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10970</Words>
  <Characters>11125</Characters>
  <Lines>1</Lines>
  <Paragraphs>1</Paragraphs>
  <TotalTime>1</TotalTime>
  <ScaleCrop>false</ScaleCrop>
  <LinksUpToDate>false</LinksUpToDate>
  <CharactersWithSpaces>11193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2025-07-24T06:51:13Z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D2AEEA3A83A14B43A29B142B602C7111_13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